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8808" w14:textId="77777777" w:rsidR="00443F11" w:rsidRDefault="00443F11" w:rsidP="00DC6CBB"/>
    <w:p w14:paraId="0A4FA5F3" w14:textId="1C5FBE68" w:rsidR="003C387C" w:rsidRPr="003C387C" w:rsidRDefault="00C95DD6" w:rsidP="00C95DD6">
      <w:pPr>
        <w:tabs>
          <w:tab w:val="left" w:pos="1215"/>
        </w:tabs>
        <w:rPr>
          <w:rFonts w:ascii="Calibri" w:eastAsia="Calibri" w:hAnsi="Calibri" w:cs="Calibri"/>
          <w:b/>
          <w:bCs/>
          <w:color w:val="000000"/>
          <w:sz w:val="32"/>
          <w:szCs w:val="28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sz w:val="32"/>
          <w:szCs w:val="28"/>
          <w:u w:color="000000"/>
          <w:bdr w:val="nil"/>
          <w:lang w:val="en-US" w:eastAsia="en-AU"/>
        </w:rPr>
        <w:t xml:space="preserve">Selection Criteria for the </w:t>
      </w:r>
      <w:r>
        <w:rPr>
          <w:rFonts w:ascii="Calibri" w:eastAsia="Calibri" w:hAnsi="Calibri" w:cs="Calibri"/>
          <w:b/>
          <w:bCs/>
          <w:color w:val="000000"/>
          <w:sz w:val="32"/>
          <w:szCs w:val="28"/>
          <w:u w:color="000000"/>
          <w:bdr w:val="nil"/>
          <w:lang w:val="en-US" w:eastAsia="en-AU"/>
        </w:rPr>
        <w:t xml:space="preserve">2022 Commonwealth Games </w:t>
      </w:r>
      <w:r w:rsidR="003C387C">
        <w:rPr>
          <w:rFonts w:ascii="Calibri" w:eastAsia="Calibri" w:hAnsi="Calibri" w:cs="Calibri"/>
          <w:b/>
          <w:bCs/>
          <w:color w:val="000000"/>
          <w:sz w:val="32"/>
          <w:szCs w:val="28"/>
          <w:u w:color="000000"/>
          <w:bdr w:val="nil"/>
          <w:lang w:val="en-US" w:eastAsia="en-AU"/>
        </w:rPr>
        <w:t xml:space="preserve"> </w:t>
      </w:r>
      <w:r w:rsidR="003C387C">
        <w:rPr>
          <w:rFonts w:ascii="Calibri" w:eastAsia="Calibri" w:hAnsi="Calibri" w:cs="Calibri"/>
          <w:b/>
          <w:bCs/>
          <w:color w:val="000000"/>
          <w:sz w:val="16"/>
          <w:szCs w:val="15"/>
          <w:u w:color="000000"/>
          <w:bdr w:val="nil"/>
          <w:lang w:val="en-US" w:eastAsia="en-AU"/>
        </w:rPr>
        <w:t>(Updated 1</w:t>
      </w:r>
      <w:r w:rsidR="003D4BC5">
        <w:rPr>
          <w:rFonts w:ascii="Calibri" w:eastAsia="Calibri" w:hAnsi="Calibri" w:cs="Calibri"/>
          <w:b/>
          <w:bCs/>
          <w:color w:val="000000"/>
          <w:sz w:val="16"/>
          <w:szCs w:val="15"/>
          <w:u w:color="000000"/>
          <w:bdr w:val="nil"/>
          <w:lang w:val="en-US" w:eastAsia="en-AU"/>
        </w:rPr>
        <w:t>7</w:t>
      </w:r>
      <w:r w:rsidR="003C387C">
        <w:rPr>
          <w:rFonts w:ascii="Calibri" w:eastAsia="Calibri" w:hAnsi="Calibri" w:cs="Calibri"/>
          <w:b/>
          <w:bCs/>
          <w:color w:val="000000"/>
          <w:sz w:val="16"/>
          <w:szCs w:val="15"/>
          <w:u w:color="000000"/>
          <w:bdr w:val="nil"/>
          <w:lang w:val="en-US" w:eastAsia="en-AU"/>
        </w:rPr>
        <w:t xml:space="preserve"> March 2022)</w:t>
      </w:r>
    </w:p>
    <w:p w14:paraId="28FB9A06" w14:textId="68184A8A" w:rsidR="00C95DD6" w:rsidRPr="001214A5" w:rsidRDefault="00C95DD6" w:rsidP="00C95DD6">
      <w:pPr>
        <w:tabs>
          <w:tab w:val="left" w:pos="1215"/>
        </w:tabs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color w:val="000000"/>
          <w:sz w:val="32"/>
          <w:szCs w:val="28"/>
          <w:u w:color="000000"/>
          <w:bdr w:val="nil"/>
          <w:lang w:val="en-US" w:eastAsia="en-AU"/>
        </w:rPr>
        <w:t>Birmingham</w:t>
      </w:r>
      <w:r w:rsidRPr="00194817">
        <w:rPr>
          <w:rFonts w:ascii="Calibri" w:eastAsia="Calibri" w:hAnsi="Calibri" w:cs="Calibri"/>
          <w:color w:val="000000"/>
          <w:sz w:val="32"/>
          <w:szCs w:val="28"/>
          <w:u w:color="000000"/>
          <w:bdr w:val="nil"/>
          <w:lang w:val="en-US" w:eastAsia="en-AU"/>
        </w:rPr>
        <w:t>,</w:t>
      </w:r>
      <w:r>
        <w:rPr>
          <w:rFonts w:ascii="Calibri" w:eastAsia="Calibri" w:hAnsi="Calibri" w:cs="Calibri"/>
          <w:color w:val="000000"/>
          <w:sz w:val="32"/>
          <w:szCs w:val="28"/>
          <w:u w:color="000000"/>
          <w:bdr w:val="nil"/>
          <w:lang w:val="en-US" w:eastAsia="en-AU"/>
        </w:rPr>
        <w:t xml:space="preserve"> United Kingdom,</w:t>
      </w:r>
      <w:r w:rsidRPr="00194817">
        <w:rPr>
          <w:rFonts w:ascii="Calibri" w:eastAsia="Calibri" w:hAnsi="Calibri" w:cs="Calibri"/>
          <w:color w:val="000000"/>
          <w:sz w:val="32"/>
          <w:szCs w:val="28"/>
          <w:u w:color="000000"/>
          <w:bdr w:val="nil"/>
          <w:lang w:val="en-US" w:eastAsia="en-AU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28"/>
          <w:u w:color="000000"/>
          <w:bdr w:val="nil"/>
          <w:lang w:val="en-US" w:eastAsia="en-AU"/>
        </w:rPr>
        <w:t>28 July – 8 August 2022</w:t>
      </w:r>
    </w:p>
    <w:p w14:paraId="4A66228B" w14:textId="77777777" w:rsidR="00C95DD6" w:rsidRPr="00194817" w:rsidRDefault="00C95DD6" w:rsidP="00C9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INTRODUCTION</w:t>
      </w:r>
    </w:p>
    <w:p w14:paraId="4B4818D2" w14:textId="41CAF853" w:rsidR="00C95DD6" w:rsidRPr="00194817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7920C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S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election of Athletes to represent Australia at the 20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22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Commonwealth Games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(</w:t>
      </w: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CG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) will be made according to the criteria outlined in this document. </w:t>
      </w:r>
    </w:p>
    <w:p w14:paraId="27ED0077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A379658" w14:textId="07974253" w:rsidR="00C95DD6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The selection criteria for the </w:t>
      </w:r>
      <w:r w:rsidRP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CG </w:t>
      </w:r>
      <w:r w:rsidR="00E86496"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are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underpinned by the following principle:</w:t>
      </w:r>
    </w:p>
    <w:p w14:paraId="518F81E3" w14:textId="77777777" w:rsidR="00C95DD6" w:rsidRPr="007920C3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0976CC17" w14:textId="47DC2D09" w:rsidR="00C95DD6" w:rsidRDefault="00CA70DD" w:rsidP="008D120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Commonwealth Games Australia </w:t>
      </w:r>
      <w:r w:rsidRPr="00CA70DD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(CGA)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has set a target of winning the most gold medals and most medals overall out of all participating nations at the 2022 Birmingham Commonwealth Games. Judo Australia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773EAC" w:rsidRPr="00773EAC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(JA)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is expected to select a team to best contribute to the overall target of CGA.</w:t>
      </w:r>
    </w:p>
    <w:p w14:paraId="2D80540A" w14:textId="77777777" w:rsidR="00C95DD6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D1C0E08" w14:textId="4D942DBA" w:rsidR="00C95DD6" w:rsidRPr="00194817" w:rsidRDefault="00CA70DD" w:rsidP="00C9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CGA QUOTA</w:t>
      </w:r>
      <w:r w:rsidR="00C95DD6"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 xml:space="preserve"> ALLOCATIONS</w:t>
      </w:r>
    </w:p>
    <w:p w14:paraId="3A48D576" w14:textId="2573CE06" w:rsidR="00C95DD6" w:rsidRPr="00033524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Weight Divisions </w:t>
      </w:r>
      <w:r w:rsidR="0058594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at </w:t>
      </w:r>
      <w:r w:rsidR="0058594B" w:rsidRP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the CG</w:t>
      </w:r>
      <w:r w:rsidR="0058594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will be as per the categories of the International Judo Federation (</w:t>
      </w: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IJF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), namely: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48"/>
        <w:gridCol w:w="2250"/>
        <w:gridCol w:w="1322"/>
        <w:gridCol w:w="2551"/>
      </w:tblGrid>
      <w:tr w:rsidR="00C95DD6" w:rsidRPr="00A87152" w14:paraId="53F6B66F" w14:textId="77777777" w:rsidTr="009F63ED">
        <w:tc>
          <w:tcPr>
            <w:tcW w:w="1248" w:type="dxa"/>
            <w:vMerge w:val="restart"/>
            <w:shd w:val="clear" w:color="auto" w:fill="CCCCCC"/>
          </w:tcPr>
          <w:p w14:paraId="1731EB95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Male</w:t>
            </w:r>
          </w:p>
        </w:tc>
        <w:tc>
          <w:tcPr>
            <w:tcW w:w="2250" w:type="dxa"/>
          </w:tcPr>
          <w:p w14:paraId="71277331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60kg</w:t>
            </w:r>
          </w:p>
        </w:tc>
        <w:tc>
          <w:tcPr>
            <w:tcW w:w="1322" w:type="dxa"/>
            <w:vMerge w:val="restart"/>
            <w:shd w:val="clear" w:color="auto" w:fill="CCCCCC"/>
          </w:tcPr>
          <w:p w14:paraId="117B0442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Female</w:t>
            </w:r>
          </w:p>
        </w:tc>
        <w:tc>
          <w:tcPr>
            <w:tcW w:w="2551" w:type="dxa"/>
          </w:tcPr>
          <w:p w14:paraId="375F095B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48kg</w:t>
            </w:r>
          </w:p>
        </w:tc>
      </w:tr>
      <w:tr w:rsidR="00C95DD6" w:rsidRPr="00A87152" w14:paraId="3A686240" w14:textId="77777777" w:rsidTr="009F63ED">
        <w:tc>
          <w:tcPr>
            <w:tcW w:w="1248" w:type="dxa"/>
            <w:vMerge/>
            <w:shd w:val="clear" w:color="auto" w:fill="CCCCCC"/>
          </w:tcPr>
          <w:p w14:paraId="3AC19A04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303E4F31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66kg</w:t>
            </w:r>
          </w:p>
        </w:tc>
        <w:tc>
          <w:tcPr>
            <w:tcW w:w="1322" w:type="dxa"/>
            <w:vMerge/>
            <w:shd w:val="clear" w:color="auto" w:fill="CCCCCC"/>
          </w:tcPr>
          <w:p w14:paraId="6170C611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3E6B6E04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52kg</w:t>
            </w:r>
          </w:p>
        </w:tc>
      </w:tr>
      <w:tr w:rsidR="00C95DD6" w:rsidRPr="00A87152" w14:paraId="23C5F23C" w14:textId="77777777" w:rsidTr="009F63ED">
        <w:tc>
          <w:tcPr>
            <w:tcW w:w="1248" w:type="dxa"/>
            <w:vMerge/>
            <w:shd w:val="clear" w:color="auto" w:fill="CCCCCC"/>
          </w:tcPr>
          <w:p w14:paraId="518E0013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4FA5B60A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73kg</w:t>
            </w:r>
          </w:p>
        </w:tc>
        <w:tc>
          <w:tcPr>
            <w:tcW w:w="1322" w:type="dxa"/>
            <w:vMerge/>
            <w:shd w:val="clear" w:color="auto" w:fill="CCCCCC"/>
          </w:tcPr>
          <w:p w14:paraId="23456F02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39C05D3E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57kg</w:t>
            </w:r>
          </w:p>
        </w:tc>
      </w:tr>
      <w:tr w:rsidR="00C95DD6" w:rsidRPr="00A87152" w14:paraId="06A5B0AE" w14:textId="77777777" w:rsidTr="009F63ED">
        <w:tc>
          <w:tcPr>
            <w:tcW w:w="1248" w:type="dxa"/>
            <w:vMerge/>
            <w:shd w:val="clear" w:color="auto" w:fill="CCCCCC"/>
          </w:tcPr>
          <w:p w14:paraId="7BEAB20C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75BD76C9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81kg</w:t>
            </w:r>
          </w:p>
        </w:tc>
        <w:tc>
          <w:tcPr>
            <w:tcW w:w="1322" w:type="dxa"/>
            <w:vMerge/>
            <w:shd w:val="clear" w:color="auto" w:fill="CCCCCC"/>
          </w:tcPr>
          <w:p w14:paraId="0082E3C0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3867F16D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63kg</w:t>
            </w:r>
          </w:p>
        </w:tc>
      </w:tr>
      <w:tr w:rsidR="00C95DD6" w:rsidRPr="00A87152" w14:paraId="4EB757D6" w14:textId="77777777" w:rsidTr="009F63ED">
        <w:tc>
          <w:tcPr>
            <w:tcW w:w="1248" w:type="dxa"/>
            <w:vMerge/>
            <w:shd w:val="clear" w:color="auto" w:fill="CCCCCC"/>
          </w:tcPr>
          <w:p w14:paraId="1D77A621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122D0C32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90kg</w:t>
            </w:r>
          </w:p>
        </w:tc>
        <w:tc>
          <w:tcPr>
            <w:tcW w:w="1322" w:type="dxa"/>
            <w:vMerge/>
            <w:shd w:val="clear" w:color="auto" w:fill="CCCCCC"/>
          </w:tcPr>
          <w:p w14:paraId="65398339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6A6C1039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70kg</w:t>
            </w:r>
          </w:p>
        </w:tc>
      </w:tr>
      <w:tr w:rsidR="00C95DD6" w:rsidRPr="00A87152" w14:paraId="3EDB83B3" w14:textId="77777777" w:rsidTr="009F63ED">
        <w:tc>
          <w:tcPr>
            <w:tcW w:w="1248" w:type="dxa"/>
            <w:vMerge/>
            <w:shd w:val="clear" w:color="auto" w:fill="CCCCCC"/>
          </w:tcPr>
          <w:p w14:paraId="6AB1939E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3978FD4C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100kg</w:t>
            </w:r>
          </w:p>
        </w:tc>
        <w:tc>
          <w:tcPr>
            <w:tcW w:w="1322" w:type="dxa"/>
            <w:vMerge/>
            <w:shd w:val="clear" w:color="auto" w:fill="CCCCCC"/>
          </w:tcPr>
          <w:p w14:paraId="719A31D6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4376C7CB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Under 78kg</w:t>
            </w:r>
          </w:p>
        </w:tc>
      </w:tr>
      <w:tr w:rsidR="00C95DD6" w:rsidRPr="00A87152" w14:paraId="040E0F78" w14:textId="77777777" w:rsidTr="009F63ED">
        <w:tc>
          <w:tcPr>
            <w:tcW w:w="1248" w:type="dxa"/>
            <w:vMerge/>
            <w:shd w:val="clear" w:color="auto" w:fill="CCCCCC"/>
          </w:tcPr>
          <w:p w14:paraId="06583269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250" w:type="dxa"/>
          </w:tcPr>
          <w:p w14:paraId="0092AB75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Over 100kg</w:t>
            </w:r>
          </w:p>
        </w:tc>
        <w:tc>
          <w:tcPr>
            <w:tcW w:w="1322" w:type="dxa"/>
            <w:vMerge/>
            <w:shd w:val="clear" w:color="auto" w:fill="CCCCCC"/>
          </w:tcPr>
          <w:p w14:paraId="15C85BA8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</w:p>
        </w:tc>
        <w:tc>
          <w:tcPr>
            <w:tcW w:w="2551" w:type="dxa"/>
          </w:tcPr>
          <w:p w14:paraId="4270FFB1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rPr>
                <w:rFonts w:ascii="Calibri" w:eastAsia="Cambria" w:hAnsi="Calibri" w:cs="Calibri"/>
                <w:b/>
                <w:color w:val="000000"/>
                <w:sz w:val="22"/>
                <w:szCs w:val="22"/>
                <w:u w:color="000000"/>
                <w:bdr w:val="nil"/>
                <w:lang w:eastAsia="en-AU"/>
              </w:rPr>
            </w:pPr>
            <w:r w:rsidRPr="00A87152">
              <w:rPr>
                <w:rFonts w:ascii="Calibri" w:eastAsia="Cambria" w:hAnsi="Calibri" w:cs="Calibri"/>
                <w:color w:val="000000"/>
                <w:sz w:val="22"/>
                <w:szCs w:val="22"/>
                <w:u w:color="000000"/>
                <w:bdr w:val="nil"/>
                <w:lang w:eastAsia="en-AU"/>
              </w:rPr>
              <w:t>Over 78kg</w:t>
            </w:r>
          </w:p>
        </w:tc>
      </w:tr>
    </w:tbl>
    <w:p w14:paraId="2A742871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7DC55E26" w14:textId="17B9E3A0" w:rsidR="00135EBB" w:rsidRDefault="0058594B" w:rsidP="00135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The Commonwealth Games Federation </w:t>
      </w:r>
      <w:r w:rsidR="007C65A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has reduced the overall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athlete quotas (slots) </w:t>
      </w:r>
      <w:r w:rsid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available to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CGA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for Birmingham 2022 in the Open Athlete Allocation Sports. 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CGA has </w:t>
      </w:r>
      <w:r w:rsidR="00244AC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developed 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 quota distribution system to determine how many quotas each sport receives – the details of which can be seen </w:t>
      </w:r>
      <w:r w:rsidR="00773EAC" w:rsidRPr="00773EAC">
        <w:rPr>
          <w:rFonts w:ascii="Calibri" w:eastAsia="Calibri" w:hAnsi="Calibri" w:cs="Calibri"/>
          <w:color w:val="FF0000"/>
          <w:u w:color="000000"/>
          <w:bdr w:val="nil"/>
          <w:lang w:val="en-US" w:eastAsia="en-AU"/>
        </w:rPr>
        <w:t>here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. Through this quota distribution system JA receives </w:t>
      </w:r>
      <w:r w:rsidR="000E3AB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ten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(</w:t>
      </w:r>
      <w:r w:rsidR="000E3AB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10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) quotas for the CG.</w:t>
      </w:r>
    </w:p>
    <w:p w14:paraId="515E2281" w14:textId="77777777" w:rsidR="00135EBB" w:rsidRDefault="00135EBB" w:rsidP="00135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7915D46" w14:textId="049324F0" w:rsidR="00135EBB" w:rsidRDefault="00773EAC" w:rsidP="00135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The m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aximum number of athletes per nation is two per weight category but the total number of athletes selected </w:t>
      </w:r>
      <w:r w:rsidR="00B124B9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cannot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exceed the </w:t>
      </w:r>
      <w:r w:rsidR="00A80E3D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q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uota allocated </w:t>
      </w:r>
      <w:r w:rsidR="00A80E3D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to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JA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by the CGA</w:t>
      </w:r>
    </w:p>
    <w:p w14:paraId="1BFCCB8E" w14:textId="77777777" w:rsidR="00135EBB" w:rsidRPr="00135EBB" w:rsidRDefault="00135EBB" w:rsidP="00135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73B067F3" w14:textId="7A6D3940" w:rsidR="00135EBB" w:rsidRPr="0077758C" w:rsidRDefault="00135EBB" w:rsidP="00135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proofErr w:type="gramStart"/>
      <w:r w:rsidRPr="0077758C">
        <w:rPr>
          <w:rFonts w:ascii="Calibri" w:eastAsia="Times New Roman" w:hAnsi="Calibri" w:cs="Calibri"/>
          <w:color w:val="000000"/>
          <w:lang w:eastAsia="en-GB"/>
        </w:rPr>
        <w:t>Subsequent to</w:t>
      </w:r>
      <w:proofErr w:type="gramEnd"/>
      <w:r w:rsidRPr="0077758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7758C">
        <w:rPr>
          <w:rFonts w:ascii="Calibri" w:eastAsia="Times New Roman" w:hAnsi="Calibri" w:cs="Calibri"/>
          <w:color w:val="000000"/>
          <w:lang w:eastAsia="en-GB"/>
        </w:rPr>
        <w:t xml:space="preserve">clause </w:t>
      </w:r>
      <w:r w:rsidRPr="0077758C">
        <w:rPr>
          <w:rFonts w:ascii="Calibri" w:eastAsia="Times New Roman" w:hAnsi="Calibri" w:cs="Calibri"/>
          <w:color w:val="000000"/>
          <w:lang w:eastAsia="en-GB"/>
        </w:rPr>
        <w:t>2.2, Judo Australia has been offered and has accepted two additional quotas from CGA. These quotas have been specifically allocated as a secondary quota for the Male Under 90kg division and as a single quota for the Female Over 78kg division. This takes the total quotas for JA for the CG to twelve (12).</w:t>
      </w:r>
    </w:p>
    <w:p w14:paraId="321C8D2A" w14:textId="77777777" w:rsidR="00135EBB" w:rsidRPr="00135EBB" w:rsidRDefault="00135EBB" w:rsidP="00135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EDF4367" w14:textId="3B3E6899" w:rsidR="00D13347" w:rsidRPr="00135EBB" w:rsidRDefault="00244AC2" w:rsidP="00135E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U</w:t>
      </w:r>
      <w:r w:rsidR="00A80E3D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p to </w:t>
      </w:r>
      <w:r w:rsidR="000E3AB3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four</w:t>
      </w:r>
      <w:r w:rsidR="00A80E3D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reserve athletes </w:t>
      </w:r>
      <w:r w:rsidR="00A80E3D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may</w:t>
      </w:r>
      <w:r w:rsidR="00F82DD4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be selected</w:t>
      </w:r>
      <w:r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to cater for any additional quotas JA may receive.</w:t>
      </w:r>
      <w:r w:rsidR="003C387C" w:rsidRPr="00135EB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</w:p>
    <w:p w14:paraId="3CA82F3F" w14:textId="77777777" w:rsidR="00C11043" w:rsidRDefault="00C11043" w:rsidP="000335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3814EEB8" w14:textId="77777777" w:rsidR="00C95DD6" w:rsidRPr="00194817" w:rsidRDefault="00C95DD6" w:rsidP="00C95D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ELIGIBILITY REQUIREMENTS</w:t>
      </w:r>
    </w:p>
    <w:p w14:paraId="1616C923" w14:textId="1AA975FB" w:rsidR="00C95DD6" w:rsidRPr="00194817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To be eligible for consideration for selection for the </w:t>
      </w:r>
      <w:r w:rsid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CG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, an Athlete must satisfy the following requirements:</w:t>
      </w:r>
    </w:p>
    <w:p w14:paraId="032EF15A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24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3AEDAE90" w14:textId="5EF02977" w:rsidR="00C95DD6" w:rsidRPr="00194817" w:rsidRDefault="007B00FA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be an</w:t>
      </w:r>
      <w:r w:rsidR="00C95DD6"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Australian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citizen</w:t>
      </w:r>
      <w:r w:rsidR="00C95DD6"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; </w:t>
      </w:r>
    </w:p>
    <w:p w14:paraId="31DD3085" w14:textId="5224FB1B" w:rsidR="008D1202" w:rsidRPr="008D1202" w:rsidRDefault="00C95DD6" w:rsidP="008D120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lastRenderedPageBreak/>
        <w:t>be a financial member of and be in good standing with JA</w:t>
      </w:r>
      <w:r w:rsidR="00C31723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and</w:t>
      </w:r>
      <w:r w:rsidR="00B124B9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the</w:t>
      </w:r>
      <w:r w:rsidR="00C31723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Combat Institute of Australia (</w:t>
      </w:r>
      <w:proofErr w:type="spellStart"/>
      <w:r w:rsidR="00C31723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</w:t>
      </w:r>
      <w:r w:rsidR="00773EAC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ombatAUS</w:t>
      </w:r>
      <w:proofErr w:type="spellEnd"/>
      <w:r w:rsidR="00C31723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)</w:t>
      </w: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;</w:t>
      </w:r>
    </w:p>
    <w:p w14:paraId="5E56B89C" w14:textId="5A7603D1" w:rsidR="008D1202" w:rsidRDefault="00C95DD6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have signed the current JA Team Member Agreement</w:t>
      </w:r>
      <w:r w:rsidR="00C31723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and pre-signed the B2022 Team Membership Agreement</w:t>
      </w: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;</w:t>
      </w:r>
    </w:p>
    <w:p w14:paraId="7059CC9B" w14:textId="2909217E" w:rsidR="00C31723" w:rsidRPr="008D1202" w:rsidRDefault="007B00FA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not have breached the CGA Anti-Doping By-Law unless the athlete has already been sanctioned for the breach and completed the sanction imposed;</w:t>
      </w:r>
    </w:p>
    <w:p w14:paraId="73044835" w14:textId="62011972" w:rsidR="007B00FA" w:rsidRPr="00194817" w:rsidRDefault="007B00FA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not by their actions or omissions brought themselves, JA,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ombatAUS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, CGA or the Team into disrepute or censure;</w:t>
      </w:r>
    </w:p>
    <w:p w14:paraId="3431AE38" w14:textId="4F14EC64" w:rsidR="00C95DD6" w:rsidRPr="001214A5" w:rsidRDefault="00C95DD6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be at least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1</w:t>
      </w:r>
      <w:r w:rsidRPr="00BA0F96">
        <w:rPr>
          <w:rFonts w:ascii="Calibri" w:eastAsia="Calibri" w:hAnsi="Calibri" w:cs="Calibri"/>
          <w:color w:val="000000"/>
          <w:u w:color="000000"/>
          <w:bdr w:val="nil"/>
          <w:vertAlign w:val="superscript"/>
          <w:lang w:val="en-US" w:eastAsia="en-AU"/>
        </w:rPr>
        <w:t>st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Dan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,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black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belt;</w:t>
      </w:r>
      <w:r w:rsid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and</w:t>
      </w:r>
    </w:p>
    <w:p w14:paraId="70F56319" w14:textId="7A73F932" w:rsidR="00C95DD6" w:rsidRDefault="00C95DD6" w:rsidP="00C95D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hold a valid IJF ID Card</w:t>
      </w:r>
      <w:r w:rsid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.</w:t>
      </w:r>
    </w:p>
    <w:p w14:paraId="20AE29DB" w14:textId="77777777" w:rsidR="00C95DD6" w:rsidRPr="008B1A1E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54888A07" w14:textId="77777777" w:rsidR="00C95DD6" w:rsidRPr="00194817" w:rsidRDefault="00C95DD6" w:rsidP="00C95D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SELECTION PROCEDURE</w:t>
      </w:r>
    </w:p>
    <w:p w14:paraId="152415B9" w14:textId="141FD823" w:rsidR="00C95DD6" w:rsidRPr="00194817" w:rsidRDefault="00C95DD6" w:rsidP="00C95D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All Athletes considered for selection must meet the Eligibility Requirements as stated above at the date of selection</w:t>
      </w:r>
      <w:r w:rsidR="00C3172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, which will be </w:t>
      </w:r>
      <w:r w:rsidR="007B00FA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the 1 May 2022.</w:t>
      </w:r>
    </w:p>
    <w:p w14:paraId="0A7F1550" w14:textId="68B40EBF" w:rsidR="00C95DD6" w:rsidRDefault="00C95DD6" w:rsidP="00C95DD6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Eligible athletes will be considered for selection for the </w:t>
      </w:r>
      <w:r w:rsidR="007B00FA"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</w:rPr>
        <w:t xml:space="preserve"> in the following priority order:</w:t>
      </w:r>
    </w:p>
    <w:p w14:paraId="486157C2" w14:textId="77777777" w:rsidR="00C95DD6" w:rsidRPr="0010629A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Calibri" w:hAnsi="Calibri" w:cs="Calibri"/>
        </w:rPr>
      </w:pPr>
    </w:p>
    <w:p w14:paraId="59708212" w14:textId="155EE48C" w:rsidR="00C95DD6" w:rsidRDefault="00C95DD6" w:rsidP="00C95DD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Eligible </w:t>
      </w:r>
      <w:r w:rsidR="00E1383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thletes who have </w:t>
      </w:r>
      <w:r w:rsidR="007B00FA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finished top 7 at the Olympic Games, World Championships</w:t>
      </w:r>
      <w:r w:rsidR="008930A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, </w:t>
      </w:r>
      <w:r w:rsidR="007B00FA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and/or IJF World Masters in the two-year period prior to the date of selection (between 1 May 2020 and 1 May 2022) will be 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considered for </w:t>
      </w:r>
      <w:r w:rsidR="007B00FA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select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ion</w:t>
      </w:r>
      <w:r w:rsidR="007B00FA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first. </w:t>
      </w:r>
    </w:p>
    <w:p w14:paraId="51D4B4F3" w14:textId="682EA1AC" w:rsidR="00E13837" w:rsidRDefault="00E13837" w:rsidP="00E13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2AC795DA" w14:textId="0844F1D9" w:rsidR="00E13837" w:rsidRDefault="00E13837" w:rsidP="00C95DD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Eligible athletes who win a minimum of one medal at IJF Grand Slam, Grand </w:t>
      </w:r>
      <w:proofErr w:type="gramStart"/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Prix</w:t>
      </w:r>
      <w:proofErr w:type="gramEnd"/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and the Asian-Oceania Championships in the two-year period prior to the date of selection (between 1 May 2020 and 1 May 2022) will be 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considered for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select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ion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second.</w:t>
      </w:r>
      <w:r w:rsidR="008930A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D96E80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To provide opportunity for athletes to participate at GS/GP events the GS/GP eligibility criteria will be relaxed until 1 May 2022</w:t>
      </w:r>
      <w:r w:rsidR="001F358E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as displayed on the JA website. </w:t>
      </w:r>
    </w:p>
    <w:p w14:paraId="76DE7C3B" w14:textId="77777777" w:rsidR="008930AB" w:rsidRDefault="008930AB" w:rsidP="008930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B9F5808" w14:textId="0F50BD84" w:rsidR="008930AB" w:rsidRDefault="008930AB" w:rsidP="008930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Eligible athletes who have finished top 7 at the 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Junior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World Championships in the two-year period prior to the date of selection (between 13 May 2020 and 13 May 2022) will be 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considered for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select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ion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0F122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third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. </w:t>
      </w:r>
    </w:p>
    <w:p w14:paraId="06257552" w14:textId="65EBCD46" w:rsidR="007B00FA" w:rsidRDefault="007B00FA" w:rsidP="00E13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0643A421" w14:textId="19E34910" w:rsidR="00C95DD6" w:rsidRDefault="00E86496" w:rsidP="00E138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Calibri" w:hAnsi="Calibri" w:cs="Calibri"/>
          <w:bdr w:val="nil"/>
          <w:lang w:val="en-US"/>
        </w:rPr>
      </w:pPr>
      <w:r w:rsidRPr="00194817">
        <w:rPr>
          <w:rFonts w:ascii="Calibri" w:eastAsia="Calibri" w:hAnsi="Calibri" w:cs="Calibri"/>
          <w:bdr w:val="nil"/>
          <w:lang w:val="en-US"/>
        </w:rPr>
        <w:t>If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 </w:t>
      </w:r>
      <w:r w:rsidR="00E13837">
        <w:rPr>
          <w:rFonts w:ascii="Calibri" w:eastAsia="Calibri" w:hAnsi="Calibri" w:cs="Calibri"/>
          <w:bdr w:val="nil"/>
          <w:lang w:val="en-US"/>
        </w:rPr>
        <w:t>the number of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 </w:t>
      </w:r>
      <w:r w:rsidR="00C95DD6">
        <w:rPr>
          <w:rFonts w:ascii="Calibri" w:eastAsia="Calibri" w:hAnsi="Calibri" w:cs="Calibri"/>
          <w:bdr w:val="nil"/>
          <w:lang w:val="en-US"/>
        </w:rPr>
        <w:t xml:space="preserve">eligible </w:t>
      </w:r>
      <w:r w:rsidR="00E13837">
        <w:rPr>
          <w:rFonts w:ascii="Calibri" w:eastAsia="Calibri" w:hAnsi="Calibri" w:cs="Calibri"/>
          <w:bdr w:val="nil"/>
          <w:lang w:val="en-US"/>
        </w:rPr>
        <w:t>a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thletes </w:t>
      </w:r>
      <w:r w:rsidR="000F122B">
        <w:rPr>
          <w:rFonts w:ascii="Calibri" w:eastAsia="Calibri" w:hAnsi="Calibri" w:cs="Calibri"/>
          <w:bdr w:val="nil"/>
          <w:lang w:val="en-US"/>
        </w:rPr>
        <w:t xml:space="preserve">considered for </w:t>
      </w:r>
      <w:r w:rsidR="008930AB">
        <w:rPr>
          <w:rFonts w:ascii="Calibri" w:eastAsia="Calibri" w:hAnsi="Calibri" w:cs="Calibri"/>
          <w:bdr w:val="nil"/>
          <w:lang w:val="en-US"/>
        </w:rPr>
        <w:t>select</w:t>
      </w:r>
      <w:r w:rsidR="000F122B">
        <w:rPr>
          <w:rFonts w:ascii="Calibri" w:eastAsia="Calibri" w:hAnsi="Calibri" w:cs="Calibri"/>
          <w:bdr w:val="nil"/>
          <w:lang w:val="en-US"/>
        </w:rPr>
        <w:t>ion</w:t>
      </w:r>
      <w:r w:rsidR="008930AB">
        <w:rPr>
          <w:rFonts w:ascii="Calibri" w:eastAsia="Calibri" w:hAnsi="Calibri" w:cs="Calibri"/>
          <w:bdr w:val="nil"/>
          <w:lang w:val="en-US"/>
        </w:rPr>
        <w:t xml:space="preserve"> under 4.1.1 – </w:t>
      </w:r>
      <w:r>
        <w:rPr>
          <w:rFonts w:ascii="Calibri" w:eastAsia="Calibri" w:hAnsi="Calibri" w:cs="Calibri"/>
          <w:bdr w:val="nil"/>
          <w:lang w:val="en-US"/>
        </w:rPr>
        <w:t>4.1.3 is</w:t>
      </w:r>
      <w:r w:rsidR="00E13837">
        <w:rPr>
          <w:rFonts w:ascii="Calibri" w:eastAsia="Calibri" w:hAnsi="Calibri" w:cs="Calibri"/>
          <w:bdr w:val="nil"/>
          <w:lang w:val="en-US"/>
        </w:rPr>
        <w:t xml:space="preserve"> above the quota allocated to </w:t>
      </w:r>
      <w:r w:rsidR="00B124B9">
        <w:rPr>
          <w:rFonts w:ascii="Calibri" w:eastAsia="Calibri" w:hAnsi="Calibri" w:cs="Calibri"/>
          <w:bdr w:val="nil"/>
          <w:lang w:val="en-US"/>
        </w:rPr>
        <w:t>JA</w:t>
      </w:r>
      <w:r w:rsidR="000F122B">
        <w:rPr>
          <w:rFonts w:ascii="Calibri" w:eastAsia="Calibri" w:hAnsi="Calibri" w:cs="Calibri"/>
          <w:bdr w:val="nil"/>
          <w:lang w:val="en-US"/>
        </w:rPr>
        <w:t xml:space="preserve"> (</w:t>
      </w:r>
      <w:r w:rsidR="000E3AB3">
        <w:rPr>
          <w:rFonts w:ascii="Calibri" w:eastAsia="Calibri" w:hAnsi="Calibri" w:cs="Calibri"/>
          <w:bdr w:val="nil"/>
          <w:lang w:val="en-US"/>
        </w:rPr>
        <w:t>10</w:t>
      </w:r>
      <w:r w:rsidR="000F122B">
        <w:rPr>
          <w:rFonts w:ascii="Calibri" w:eastAsia="Calibri" w:hAnsi="Calibri" w:cs="Calibri"/>
          <w:bdr w:val="nil"/>
          <w:lang w:val="en-US"/>
        </w:rPr>
        <w:t xml:space="preserve"> athletes)</w:t>
      </w:r>
      <w:r w:rsidR="00E13837">
        <w:rPr>
          <w:rFonts w:ascii="Calibri" w:eastAsia="Calibri" w:hAnsi="Calibri" w:cs="Calibri"/>
          <w:bdr w:val="nil"/>
          <w:lang w:val="en-US"/>
        </w:rPr>
        <w:t xml:space="preserve">, </w:t>
      </w:r>
      <w:r w:rsidR="00C95DD6" w:rsidRPr="00194817">
        <w:rPr>
          <w:rFonts w:ascii="Calibri" w:eastAsia="Calibri" w:hAnsi="Calibri" w:cs="Calibri"/>
          <w:bdr w:val="nil"/>
          <w:lang w:val="en-US"/>
        </w:rPr>
        <w:t>the Athlete</w:t>
      </w:r>
      <w:r w:rsidR="00773EAC">
        <w:rPr>
          <w:rFonts w:ascii="Calibri" w:eastAsia="Calibri" w:hAnsi="Calibri" w:cs="Calibri"/>
          <w:bdr w:val="nil"/>
          <w:lang w:val="en-US"/>
        </w:rPr>
        <w:t>s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 who achieved </w:t>
      </w:r>
      <w:r w:rsidR="00C95DD6">
        <w:rPr>
          <w:rFonts w:ascii="Calibri" w:eastAsia="Calibri" w:hAnsi="Calibri" w:cs="Calibri"/>
          <w:bdr w:val="nil"/>
          <w:lang w:val="en-US"/>
        </w:rPr>
        <w:t>better international results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 </w:t>
      </w:r>
      <w:r w:rsidR="00C95DD6">
        <w:rPr>
          <w:rFonts w:ascii="Calibri" w:eastAsia="Calibri" w:hAnsi="Calibri" w:cs="Calibri"/>
          <w:bdr w:val="nil"/>
          <w:lang w:val="en-US"/>
        </w:rPr>
        <w:t xml:space="preserve">as determined by the NSC </w:t>
      </w:r>
      <w:r w:rsidR="00C95DD6" w:rsidRPr="00194817">
        <w:rPr>
          <w:rFonts w:ascii="Calibri" w:eastAsia="Calibri" w:hAnsi="Calibri" w:cs="Calibri"/>
          <w:bdr w:val="nil"/>
          <w:lang w:val="en-US"/>
        </w:rPr>
        <w:t>(and if they are still even, at the absolute discretion of the NSC) will be the Athlete considered for selection under 4.</w:t>
      </w:r>
      <w:r w:rsidR="00637501">
        <w:rPr>
          <w:rFonts w:ascii="Calibri" w:eastAsia="Calibri" w:hAnsi="Calibri" w:cs="Calibri"/>
          <w:bdr w:val="nil"/>
          <w:lang w:val="en-US"/>
        </w:rPr>
        <w:t>1</w:t>
      </w:r>
      <w:r w:rsidR="00C95DD6">
        <w:rPr>
          <w:rFonts w:ascii="Calibri" w:eastAsia="Calibri" w:hAnsi="Calibri" w:cs="Calibri"/>
          <w:bdr w:val="nil"/>
          <w:lang w:val="en-US"/>
        </w:rPr>
        <w:t>.1</w:t>
      </w:r>
      <w:r w:rsidR="00C95DD6" w:rsidRPr="00194817">
        <w:rPr>
          <w:rFonts w:ascii="Calibri" w:eastAsia="Calibri" w:hAnsi="Calibri" w:cs="Calibri"/>
          <w:bdr w:val="nil"/>
          <w:lang w:val="en-US"/>
        </w:rPr>
        <w:t xml:space="preserve">. </w:t>
      </w:r>
      <w:r w:rsidR="002D7C28">
        <w:rPr>
          <w:rFonts w:ascii="Calibri" w:eastAsia="Calibri" w:hAnsi="Calibri" w:cs="Calibri"/>
          <w:bdr w:val="nil"/>
          <w:lang w:val="en-US"/>
        </w:rPr>
        <w:t>to 4.1.3.</w:t>
      </w:r>
    </w:p>
    <w:p w14:paraId="6BFC39FC" w14:textId="77777777" w:rsidR="00C95DD6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dr w:val="nil"/>
          <w:lang w:val="en-US"/>
        </w:rPr>
      </w:pPr>
    </w:p>
    <w:p w14:paraId="46497AFF" w14:textId="1551D35D" w:rsidR="00C95DD6" w:rsidRDefault="00C95DD6" w:rsidP="00C95DD6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dr w:val="nil"/>
          <w:lang w:val="en-US"/>
        </w:rPr>
      </w:pPr>
      <w:r>
        <w:rPr>
          <w:rFonts w:ascii="Calibri" w:eastAsia="Calibri" w:hAnsi="Calibri" w:cs="Calibri"/>
          <w:bdr w:val="nil"/>
          <w:lang w:val="en-US"/>
        </w:rPr>
        <w:t>Eligible athletes who do not satisfy the requirements in clause 4.</w:t>
      </w:r>
      <w:r w:rsidR="00637501">
        <w:rPr>
          <w:rFonts w:ascii="Calibri" w:eastAsia="Calibri" w:hAnsi="Calibri" w:cs="Calibri"/>
          <w:bdr w:val="nil"/>
          <w:lang w:val="en-US"/>
        </w:rPr>
        <w:t>1</w:t>
      </w:r>
      <w:r>
        <w:rPr>
          <w:rFonts w:ascii="Calibri" w:eastAsia="Calibri" w:hAnsi="Calibri" w:cs="Calibri"/>
          <w:bdr w:val="nil"/>
          <w:lang w:val="en-US"/>
        </w:rPr>
        <w:t xml:space="preserve">.1 </w:t>
      </w:r>
      <w:r w:rsidR="002D7C28">
        <w:rPr>
          <w:rFonts w:ascii="Calibri" w:eastAsia="Calibri" w:hAnsi="Calibri" w:cs="Calibri"/>
          <w:bdr w:val="nil"/>
          <w:lang w:val="en-US"/>
        </w:rPr>
        <w:t>to</w:t>
      </w:r>
      <w:r w:rsidR="00637501">
        <w:rPr>
          <w:rFonts w:ascii="Calibri" w:eastAsia="Calibri" w:hAnsi="Calibri" w:cs="Calibri"/>
          <w:bdr w:val="nil"/>
          <w:lang w:val="en-US"/>
        </w:rPr>
        <w:t xml:space="preserve"> 4.1.</w:t>
      </w:r>
      <w:r w:rsidR="002D7C28">
        <w:rPr>
          <w:rFonts w:ascii="Calibri" w:eastAsia="Calibri" w:hAnsi="Calibri" w:cs="Calibri"/>
          <w:bdr w:val="nil"/>
          <w:lang w:val="en-US"/>
        </w:rPr>
        <w:t>3</w:t>
      </w:r>
      <w:r w:rsidR="00637501">
        <w:rPr>
          <w:rFonts w:ascii="Calibri" w:eastAsia="Calibri" w:hAnsi="Calibri" w:cs="Calibri"/>
          <w:bdr w:val="nil"/>
          <w:lang w:val="en-US"/>
        </w:rPr>
        <w:t xml:space="preserve"> </w:t>
      </w:r>
      <w:r>
        <w:rPr>
          <w:rFonts w:ascii="Calibri" w:eastAsia="Calibri" w:hAnsi="Calibri" w:cs="Calibri"/>
          <w:bdr w:val="nil"/>
          <w:lang w:val="en-US"/>
        </w:rPr>
        <w:t xml:space="preserve">above may be considered for selection to fill the remaining quota positions for the </w:t>
      </w:r>
      <w:r w:rsidR="00637501">
        <w:rPr>
          <w:rFonts w:ascii="Calibri" w:eastAsia="Calibri" w:hAnsi="Calibri" w:cs="Calibri"/>
          <w:bdr w:val="nil"/>
          <w:lang w:val="en-US"/>
        </w:rPr>
        <w:t>CG</w:t>
      </w:r>
      <w:r>
        <w:rPr>
          <w:rFonts w:ascii="Calibri" w:eastAsia="Calibri" w:hAnsi="Calibri" w:cs="Calibri"/>
          <w:bdr w:val="nil"/>
          <w:lang w:val="en-US"/>
        </w:rPr>
        <w:t xml:space="preserve"> at the absolute discretion of the NSC. In exercising this discretion, the NSC will consider </w:t>
      </w:r>
      <w:r w:rsidR="00E86496">
        <w:rPr>
          <w:rFonts w:ascii="Calibri" w:eastAsia="Calibri" w:hAnsi="Calibri" w:cs="Calibri"/>
          <w:bdr w:val="nil"/>
          <w:lang w:val="en-US"/>
        </w:rPr>
        <w:t>several</w:t>
      </w:r>
      <w:r>
        <w:rPr>
          <w:rFonts w:ascii="Calibri" w:eastAsia="Calibri" w:hAnsi="Calibri" w:cs="Calibri"/>
          <w:bdr w:val="nil"/>
          <w:lang w:val="en-US"/>
        </w:rPr>
        <w:t xml:space="preserve"> factors, including (without limitation</w:t>
      </w:r>
      <w:r w:rsidR="00637501">
        <w:rPr>
          <w:rFonts w:ascii="Calibri" w:eastAsia="Calibri" w:hAnsi="Calibri" w:cs="Calibri"/>
          <w:bdr w:val="nil"/>
          <w:lang w:val="en-US"/>
        </w:rPr>
        <w:t xml:space="preserve"> and in no particular order</w:t>
      </w:r>
      <w:r>
        <w:rPr>
          <w:rFonts w:ascii="Calibri" w:eastAsia="Calibri" w:hAnsi="Calibri" w:cs="Calibri"/>
          <w:bdr w:val="nil"/>
          <w:lang w:val="en-US"/>
        </w:rPr>
        <w:t>):</w:t>
      </w:r>
    </w:p>
    <w:p w14:paraId="0C006B9F" w14:textId="77777777" w:rsidR="00C95DD6" w:rsidRPr="00646DCE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Calibri" w:hAnsi="Calibri" w:cs="Calibri"/>
          <w:bdr w:val="nil"/>
          <w:lang w:val="en-US"/>
        </w:rPr>
      </w:pPr>
    </w:p>
    <w:p w14:paraId="2ED0D2EB" w14:textId="1AF5C3A3" w:rsidR="002D7C28" w:rsidRDefault="002D7C28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Potential of the athlete to contribute to the overall medal tally of the CGA;</w:t>
      </w:r>
    </w:p>
    <w:p w14:paraId="736A6752" w14:textId="17623D28" w:rsidR="00C95DD6" w:rsidRDefault="00C95DD6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305A4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National Ranking Points;</w:t>
      </w:r>
    </w:p>
    <w:p w14:paraId="18FA9FBA" w14:textId="6DC41B8F" w:rsidR="002D7C28" w:rsidRDefault="002D7C28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IJF World Ranking;</w:t>
      </w:r>
    </w:p>
    <w:p w14:paraId="540AB0B8" w14:textId="77777777" w:rsidR="00C95DD6" w:rsidRDefault="00C95DD6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Quality of international results;</w:t>
      </w:r>
    </w:p>
    <w:p w14:paraId="392A6D78" w14:textId="58E2AD8E" w:rsidR="00C95DD6" w:rsidRDefault="00C95DD6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Quality and quantity of international wins</w:t>
      </w:r>
      <w:r w:rsid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,</w:t>
      </w:r>
      <w:r w:rsidR="00637501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particular</w:t>
      </w:r>
      <w:r w:rsid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ly</w:t>
      </w:r>
      <w:r w:rsidR="00637501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against athletes</w:t>
      </w:r>
      <w:r w:rsid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of </w:t>
      </w:r>
      <w:r w:rsidR="00637501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CG nations</w:t>
      </w:r>
    </w:p>
    <w:p w14:paraId="51E4A2CC" w14:textId="156D55F0" w:rsidR="00637501" w:rsidRDefault="00637501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Dept</w:t>
      </w:r>
      <w:r w:rsid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h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of the divisions </w:t>
      </w:r>
      <w:r w:rsidR="008930AB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at Commonwealth level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to maximize the potential for medal performances by the team;</w:t>
      </w:r>
    </w:p>
    <w:p w14:paraId="038D7529" w14:textId="77777777" w:rsidR="008D1202" w:rsidRDefault="00637501" w:rsidP="00E8649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proofErr w:type="spellStart"/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</w:t>
      </w:r>
      <w:r w:rsidR="00773EAC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ombatAUS</w:t>
      </w:r>
      <w:proofErr w:type="spellEnd"/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/</w:t>
      </w:r>
      <w:r w:rsidR="00C95DD6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JA </w:t>
      </w:r>
      <w:proofErr w:type="spellStart"/>
      <w:r w:rsidR="00C95DD6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categorisation</w:t>
      </w:r>
      <w:proofErr w:type="spellEnd"/>
      <w:r w:rsidR="00C95DD6"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;</w:t>
      </w:r>
    </w:p>
    <w:p w14:paraId="1ECC6C57" w14:textId="0BF827A2" w:rsidR="00E86496" w:rsidRPr="008D1202" w:rsidRDefault="00C95DD6" w:rsidP="00E8649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8D1202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An athlete’s stage of development and future potential to perform at benchmark events;</w:t>
      </w:r>
    </w:p>
    <w:p w14:paraId="7C70D1F4" w14:textId="18FB6A31" w:rsidR="008D1202" w:rsidRPr="008D1202" w:rsidRDefault="00C95DD6" w:rsidP="008D120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lastRenderedPageBreak/>
        <w:t>An athlete’s technical and tactical competence;</w:t>
      </w:r>
    </w:p>
    <w:p w14:paraId="7950D539" w14:textId="77777777" w:rsidR="00C95DD6" w:rsidRDefault="00C95DD6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An athlete’s current fitness level; and</w:t>
      </w:r>
    </w:p>
    <w:p w14:paraId="2D10D210" w14:textId="0B291601" w:rsidR="00C95DD6" w:rsidRDefault="00C95DD6" w:rsidP="00C95DD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76710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 athlete’s commitment to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the National Program.</w:t>
      </w:r>
    </w:p>
    <w:p w14:paraId="423DC9AE" w14:textId="77777777" w:rsidR="008D1202" w:rsidRPr="00984DA0" w:rsidRDefault="008D1202" w:rsidP="008D120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contextualSpacing w:val="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79576815" w14:textId="77777777" w:rsidR="00C95DD6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Calibri" w:hAnsi="Calibri" w:cs="Calibri"/>
          <w:bdr w:val="nil"/>
          <w:lang w:val="en-US"/>
        </w:rPr>
      </w:pPr>
    </w:p>
    <w:p w14:paraId="2940D748" w14:textId="35B4C55E" w:rsidR="00C95DD6" w:rsidRDefault="00637501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</w:t>
      </w:r>
      <w:r w:rsidR="00C95DD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he NSC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will</w:t>
      </w:r>
      <w:r w:rsidR="00C95DD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E820DD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name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up to </w:t>
      </w:r>
      <w:r w:rsidR="006801D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four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eligible </w:t>
      </w:r>
      <w:r w:rsidR="00C95DD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reserve athletes 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and will disclose the order in which athletes will be considered </w:t>
      </w:r>
      <w:r w:rsidR="00E8649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for selection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into the team keeping in mind the maximum number of athletes allowed per division. </w:t>
      </w:r>
      <w:r w:rsidR="00694B6E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Reserve athletes will be determined and ranked based on the</w:t>
      </w:r>
      <w:r w:rsidR="00E820DD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discretion of the NSC. In exercising this discretion, the NSC will consider the factors listed under 4.1.4.</w:t>
      </w:r>
    </w:p>
    <w:p w14:paraId="378F9D21" w14:textId="77777777" w:rsidR="00C95DD6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1B8BC8C4" w14:textId="77777777" w:rsidR="00C95DD6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DD2A4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The NSC will make decisions relating to any unfores</w:t>
      </w:r>
      <w:r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een</w:t>
      </w:r>
      <w:r w:rsidRPr="00DD2A46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circumstances relating to selections in their absolute discretion. </w:t>
      </w:r>
      <w:bookmarkStart w:id="0" w:name="_Hlk481585657"/>
    </w:p>
    <w:p w14:paraId="5CA1CF82" w14:textId="77777777" w:rsidR="00C95DD6" w:rsidRPr="0056481A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2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6A292EE" w14:textId="18F60BA5" w:rsidR="00C95DD6" w:rsidRPr="00E36957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56481A">
        <w:rPr>
          <w:rFonts w:ascii="Calibri" w:eastAsia="Calibri" w:hAnsi="Calibri" w:cs="Calibri"/>
        </w:rPr>
        <w:t xml:space="preserve">The JA </w:t>
      </w:r>
      <w:r>
        <w:rPr>
          <w:rFonts w:ascii="Calibri" w:hAnsi="Calibri" w:cs="Calibri"/>
        </w:rPr>
        <w:t>CEO</w:t>
      </w:r>
      <w:r w:rsidRPr="0056481A">
        <w:rPr>
          <w:rFonts w:ascii="Calibri" w:hAnsi="Calibri" w:cs="Calibri"/>
        </w:rPr>
        <w:t xml:space="preserve"> </w:t>
      </w:r>
      <w:r w:rsidRPr="0056481A">
        <w:rPr>
          <w:rFonts w:ascii="Calibri" w:eastAsia="Calibri" w:hAnsi="Calibri" w:cs="Calibri"/>
        </w:rPr>
        <w:t>will have final approval of all selections at their discretion</w:t>
      </w:r>
      <w:bookmarkEnd w:id="0"/>
      <w:r w:rsidR="00D76D32">
        <w:rPr>
          <w:rFonts w:ascii="Calibri" w:eastAsia="Calibri" w:hAnsi="Calibri" w:cs="Calibri"/>
        </w:rPr>
        <w:t xml:space="preserve">. The approved selected athletes will be nominated to CGA. </w:t>
      </w:r>
    </w:p>
    <w:p w14:paraId="137E3816" w14:textId="615EF8AA" w:rsidR="00C95DD6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32CD83E9" w14:textId="77777777" w:rsidR="00C95DD6" w:rsidRPr="00194817" w:rsidRDefault="00C95DD6" w:rsidP="00C9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INJURY/ILLNESS OF TEAM MEMBER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</w:p>
    <w:p w14:paraId="114A61A1" w14:textId="0A3EECA5" w:rsidR="00C95DD6" w:rsidRPr="00194817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Athletes are required to report all performance limiting injuries, illnesses, conditions or medical operations that occur prior to or after their selection for the </w:t>
      </w:r>
      <w:r w:rsidR="0028626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CG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. Reporting includes providing medical evidence to the </w:t>
      </w:r>
      <w:r w:rsidR="005F4854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High-Performance</w:t>
      </w:r>
      <w:r w:rsidR="0028626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team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</w:t>
      </w:r>
      <w:r w:rsidR="002D7C28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(</w:t>
      </w:r>
      <w:proofErr w:type="spellStart"/>
      <w:r w:rsidR="00D96E80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ombatAUS</w:t>
      </w:r>
      <w:proofErr w:type="spellEnd"/>
      <w:r w:rsidR="00D96E80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High Performance Director, </w:t>
      </w:r>
      <w:proofErr w:type="spellStart"/>
      <w:r w:rsidR="002D7C28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ombatAUS</w:t>
      </w:r>
      <w:proofErr w:type="spellEnd"/>
      <w:r w:rsidR="002D7C28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 Technical Lead, National Coaches</w:t>
      </w:r>
      <w:r w:rsidR="00D96E80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, AW</w:t>
      </w:r>
      <w:r w:rsidR="00773EAC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&amp;</w:t>
      </w:r>
      <w:r w:rsidR="00D96E80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E Manager</w:t>
      </w:r>
      <w:r w:rsidR="002D7C28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) 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relating to the assessment, treatment and rehabilitation plan.</w:t>
      </w:r>
    </w:p>
    <w:p w14:paraId="6D902B1D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4ED2D844" w14:textId="4717558E" w:rsidR="00C95DD6" w:rsidRPr="00194817" w:rsidRDefault="00C95DD6" w:rsidP="00C95D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 injured selected Athlete who is unable to undergo full training, including regular randori during the two weeks period prior to departure for the </w:t>
      </w:r>
      <w:r w:rsidR="0028626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CG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, may be withdrawn from the Team </w:t>
      </w:r>
      <w:r w:rsidR="00694B6E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and replaced with the highest ranked reserve athlete 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as determined by the </w:t>
      </w:r>
      <w:r w:rsidR="0028626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HP team</w:t>
      </w:r>
      <w:r w:rsidRPr="00194817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.</w:t>
      </w:r>
    </w:p>
    <w:p w14:paraId="09BF95BA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15DFBF10" w14:textId="77777777" w:rsidR="00C95DD6" w:rsidRPr="00194817" w:rsidRDefault="00C95DD6" w:rsidP="00C9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APPEALS</w:t>
      </w:r>
    </w:p>
    <w:p w14:paraId="43B18F05" w14:textId="6C3BC1DC" w:rsidR="00C95DD6" w:rsidRPr="006801D3" w:rsidRDefault="006801D3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  <w:r w:rsidRPr="006801D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 xml:space="preserve">All nomination and selection appeals are to be conducted in accordance with the </w:t>
      </w:r>
      <w:hyperlink r:id="rId7" w:history="1">
        <w:r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 xml:space="preserve">CGA </w:t>
        </w:r>
        <w:r w:rsidR="00C8372C"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 xml:space="preserve">Team </w:t>
        </w:r>
        <w:r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>Nomination</w:t>
        </w:r>
        <w:r w:rsidR="00C8372C"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 xml:space="preserve">, </w:t>
        </w:r>
        <w:r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>Selection</w:t>
        </w:r>
        <w:r w:rsidR="00C8372C"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 xml:space="preserve"> and Appeals</w:t>
        </w:r>
        <w:r w:rsidRPr="00C8372C">
          <w:rPr>
            <w:rStyle w:val="Hyperlink"/>
            <w:rFonts w:ascii="Calibri" w:eastAsia="Calibri" w:hAnsi="Calibri" w:cs="Calibri"/>
            <w:bdr w:val="nil"/>
            <w:lang w:val="en-US" w:eastAsia="en-AU"/>
          </w:rPr>
          <w:t xml:space="preserve"> By-Law</w:t>
        </w:r>
      </w:hyperlink>
      <w:r w:rsidR="00286267" w:rsidRPr="006801D3"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  <w:t>.</w:t>
      </w:r>
    </w:p>
    <w:p w14:paraId="5BE4B1A1" w14:textId="77777777" w:rsidR="00C95DD6" w:rsidRPr="00194817" w:rsidRDefault="00C95DD6" w:rsidP="00C95D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92"/>
        <w:rPr>
          <w:rFonts w:ascii="Calibri" w:eastAsia="Calibri" w:hAnsi="Calibri" w:cs="Calibri"/>
          <w:color w:val="000000"/>
          <w:u w:color="000000"/>
          <w:bdr w:val="nil"/>
          <w:lang w:val="en-US" w:eastAsia="en-AU"/>
        </w:rPr>
      </w:pPr>
    </w:p>
    <w:p w14:paraId="1A00A66F" w14:textId="77777777" w:rsidR="00E86496" w:rsidRDefault="00E86496" w:rsidP="00D96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rPr>
          <w:rFonts w:ascii="Calibri" w:eastAsia="Cambria" w:hAnsi="Calibri" w:cs="Arial"/>
          <w:color w:val="000000"/>
          <w:u w:color="000000"/>
          <w:bdr w:val="nil"/>
          <w:lang w:val="en-US" w:eastAsia="en-AU"/>
        </w:rPr>
      </w:pPr>
    </w:p>
    <w:p w14:paraId="4980D31B" w14:textId="751399C9" w:rsidR="00C95DD6" w:rsidRDefault="00C95DD6" w:rsidP="00C95D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  <w:r w:rsidRPr="00194817"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  <w:t>KEY DATES</w:t>
      </w:r>
    </w:p>
    <w:p w14:paraId="0BFFB127" w14:textId="77777777" w:rsidR="00D96E80" w:rsidRPr="00964552" w:rsidRDefault="00D96E80" w:rsidP="00D96E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en-US" w:eastAsia="en-AU"/>
        </w:rPr>
      </w:pPr>
    </w:p>
    <w:tbl>
      <w:tblPr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875"/>
        <w:gridCol w:w="6286"/>
      </w:tblGrid>
      <w:tr w:rsidR="00C95DD6" w:rsidRPr="00A87152" w14:paraId="5E0951BF" w14:textId="77777777" w:rsidTr="006801D3">
        <w:trPr>
          <w:trHeight w:val="250"/>
          <w:tblHeader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2F9B8F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AU"/>
              </w:rPr>
            </w:pPr>
            <w:r w:rsidRPr="00A8715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AU"/>
              </w:rPr>
              <w:t>Dates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36FAB3F" w14:textId="77777777" w:rsidR="00C95DD6" w:rsidRPr="00A87152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60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AU"/>
              </w:rPr>
            </w:pPr>
            <w:r w:rsidRPr="00A8715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en-AU"/>
              </w:rPr>
              <w:t>Activity</w:t>
            </w:r>
          </w:p>
        </w:tc>
      </w:tr>
      <w:tr w:rsidR="00C95DD6" w:rsidRPr="00A87152" w14:paraId="43DF5B59" w14:textId="77777777" w:rsidTr="006801D3">
        <w:tblPrEx>
          <w:shd w:val="clear" w:color="auto" w:fill="CED7E7"/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FFA1" w14:textId="4C46D7C7" w:rsidR="00C95DD6" w:rsidRPr="00641D5F" w:rsidRDefault="008B4904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1 May 2020 to 1 May 2022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A0884E7" w14:textId="22680B1F" w:rsidR="00C95DD6" w:rsidRPr="00641D5F" w:rsidRDefault="00D96E80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Selection period for B2022</w:t>
            </w:r>
          </w:p>
        </w:tc>
      </w:tr>
      <w:tr w:rsidR="00C95DD6" w:rsidRPr="00A87152" w14:paraId="4C5749FC" w14:textId="77777777" w:rsidTr="006801D3">
        <w:tblPrEx>
          <w:shd w:val="clear" w:color="auto" w:fill="CED7E7"/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3F78" w14:textId="6AE9B8B3" w:rsidR="00C95DD6" w:rsidRPr="00641D5F" w:rsidRDefault="00E84D6E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2</w:t>
            </w:r>
            <w:r w:rsidR="008B4904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6</w:t>
            </w:r>
            <w:r w:rsidR="008B4904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May 2022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C4FCC23" w14:textId="0ED22946" w:rsidR="00C95DD6" w:rsidRPr="00641D5F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NSC performs selection process for </w:t>
            </w:r>
            <w:r w:rsidR="00E86496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B2022,</w:t>
            </w:r>
            <w:r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and notification is communicated to Athletes and Coaches </w:t>
            </w:r>
          </w:p>
        </w:tc>
      </w:tr>
      <w:tr w:rsidR="00C95DD6" w:rsidRPr="00A87152" w14:paraId="0B823642" w14:textId="77777777" w:rsidTr="006801D3">
        <w:tblPrEx>
          <w:shd w:val="clear" w:color="auto" w:fill="CED7E7"/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1858" w14:textId="235F96A0" w:rsidR="00C95DD6" w:rsidRPr="00641D5F" w:rsidRDefault="00E84D6E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9</w:t>
            </w:r>
            <w:r w:rsidR="00C95DD6"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vertAlign w:val="superscript"/>
                <w:lang w:val="en-US" w:eastAsia="en-AU"/>
              </w:rPr>
              <w:t>th</w:t>
            </w:r>
            <w:r w:rsidR="00C95DD6"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</w:t>
            </w:r>
            <w:r w:rsidR="008B4904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May</w:t>
            </w:r>
            <w:r w:rsidR="00C95DD6"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20</w:t>
            </w:r>
            <w:r w:rsidR="008B4904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B8D2F7" w14:textId="2B5709C1" w:rsidR="00C95DD6" w:rsidRPr="00641D5F" w:rsidRDefault="00C95DD6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 w:rsidRPr="00641D5F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Closing date for Athlete Acceptance</w:t>
            </w:r>
            <w:r w:rsidR="008B4904"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 xml:space="preserve"> and Nomination to CGA</w:t>
            </w:r>
          </w:p>
        </w:tc>
      </w:tr>
      <w:tr w:rsidR="00D96E80" w:rsidRPr="00A87152" w14:paraId="15C77F80" w14:textId="77777777" w:rsidTr="006801D3">
        <w:tblPrEx>
          <w:shd w:val="clear" w:color="auto" w:fill="CED7E7"/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078E6" w14:textId="5E2F10F0" w:rsidR="00D96E80" w:rsidRDefault="00D96E80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1 July to 28 July (TBC)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F6AF862" w14:textId="0DC47AF7" w:rsidR="00D96E80" w:rsidRDefault="00D96E80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Commonwealth Games Preparation Camps/Competitions (program TBC)</w:t>
            </w:r>
          </w:p>
        </w:tc>
      </w:tr>
      <w:tr w:rsidR="00C95DD6" w:rsidRPr="00A87152" w14:paraId="3A657932" w14:textId="77777777" w:rsidTr="006801D3">
        <w:tblPrEx>
          <w:shd w:val="clear" w:color="auto" w:fill="CED7E7"/>
        </w:tblPrEx>
        <w:trPr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445E" w14:textId="379C6BA5" w:rsidR="00C95DD6" w:rsidRPr="00641D5F" w:rsidRDefault="008B4904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28 July – 8 August 2022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4137B14" w14:textId="4BB982A0" w:rsidR="00C95DD6" w:rsidRPr="00641D5F" w:rsidRDefault="008B4904" w:rsidP="009F63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AU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  <w:bdr w:val="nil"/>
                <w:lang w:val="en-US" w:eastAsia="en-AU"/>
              </w:rPr>
              <w:t>Commonwealth Games (Judo competition is 1 – 3 August 2022)</w:t>
            </w:r>
          </w:p>
        </w:tc>
      </w:tr>
    </w:tbl>
    <w:p w14:paraId="6D2E4A46" w14:textId="1AEF0834" w:rsidR="003C387C" w:rsidRDefault="003C387C" w:rsidP="00E8572B"/>
    <w:p w14:paraId="5F1A719B" w14:textId="1485226D" w:rsidR="003D4BC5" w:rsidRDefault="003D4BC5" w:rsidP="00E8572B"/>
    <w:p w14:paraId="52865E47" w14:textId="07DBA9DB" w:rsidR="003D4BC5" w:rsidRDefault="003D4BC5" w:rsidP="00E8572B"/>
    <w:p w14:paraId="110FE4CB" w14:textId="29C8F5FF" w:rsidR="003D4BC5" w:rsidRDefault="003D4BC5" w:rsidP="00E8572B"/>
    <w:p w14:paraId="1D91FE99" w14:textId="04E0E796" w:rsidR="003D4BC5" w:rsidRDefault="003D4BC5" w:rsidP="00E8572B"/>
    <w:p w14:paraId="43211B37" w14:textId="2407A654" w:rsidR="003D4BC5" w:rsidRDefault="003D4BC5" w:rsidP="00E8572B">
      <w:r>
        <w:t>UPDATES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D4BC5" w14:paraId="0014E179" w14:textId="77777777" w:rsidTr="003D4BC5">
        <w:tc>
          <w:tcPr>
            <w:tcW w:w="1413" w:type="dxa"/>
          </w:tcPr>
          <w:p w14:paraId="41B80FF4" w14:textId="396C1A58" w:rsidR="003D4BC5" w:rsidRDefault="003D4BC5" w:rsidP="00E8572B">
            <w:r>
              <w:t>17/03/2022</w:t>
            </w:r>
          </w:p>
        </w:tc>
        <w:tc>
          <w:tcPr>
            <w:tcW w:w="7603" w:type="dxa"/>
          </w:tcPr>
          <w:p w14:paraId="3AB2BFFB" w14:textId="77777777" w:rsidR="003D4BC5" w:rsidRDefault="003D4BC5" w:rsidP="00E8572B">
            <w:r>
              <w:t>Clause 2.4 added</w:t>
            </w:r>
          </w:p>
          <w:p w14:paraId="4D48E20D" w14:textId="756C9F73" w:rsidR="003D4BC5" w:rsidRDefault="003D4BC5" w:rsidP="00E8572B">
            <w:r>
              <w:t>Previous clause 2.4 renumbered to clause 2.5</w:t>
            </w:r>
          </w:p>
        </w:tc>
      </w:tr>
    </w:tbl>
    <w:p w14:paraId="5484BC08" w14:textId="77777777" w:rsidR="003D4BC5" w:rsidRPr="003C387C" w:rsidRDefault="003D4BC5" w:rsidP="00E8572B"/>
    <w:sectPr w:rsidR="003D4BC5" w:rsidRPr="003C38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F7C8" w14:textId="77777777" w:rsidR="005D0EC1" w:rsidRDefault="005D0EC1" w:rsidP="00097F9B">
      <w:pPr>
        <w:spacing w:after="0" w:line="240" w:lineRule="auto"/>
      </w:pPr>
      <w:r>
        <w:separator/>
      </w:r>
    </w:p>
  </w:endnote>
  <w:endnote w:type="continuationSeparator" w:id="0">
    <w:p w14:paraId="4E907F8E" w14:textId="77777777" w:rsidR="005D0EC1" w:rsidRDefault="005D0EC1" w:rsidP="0009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7E10" w14:textId="62E05731" w:rsidR="00097F9B" w:rsidRDefault="003F2310">
    <w:pPr>
      <w:pStyle w:val="Footer"/>
    </w:pPr>
    <w:r w:rsidRPr="00CB70C8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5E3627A" wp14:editId="097A74FD">
              <wp:simplePos x="0" y="0"/>
              <wp:positionH relativeFrom="page">
                <wp:posOffset>-571969</wp:posOffset>
              </wp:positionH>
              <wp:positionV relativeFrom="page">
                <wp:posOffset>10103457</wp:posOffset>
              </wp:positionV>
              <wp:extent cx="9594376" cy="655093"/>
              <wp:effectExtent l="0" t="0" r="698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9594376" cy="655093"/>
                        <a:chOff x="0" y="0"/>
                        <a:chExt cx="12240" cy="137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36" cy="800"/>
                        </a:xfrm>
                        <a:custGeom>
                          <a:avLst/>
                          <a:gdLst>
                            <a:gd name="T0" fmla="*/ 6235 w 7036"/>
                            <a:gd name="T1" fmla="*/ 0 h 800"/>
                            <a:gd name="T2" fmla="*/ 0 w 7036"/>
                            <a:gd name="T3" fmla="*/ 0 h 800"/>
                            <a:gd name="T4" fmla="*/ 0 w 7036"/>
                            <a:gd name="T5" fmla="*/ 799 h 800"/>
                            <a:gd name="T6" fmla="*/ 7035 w 7036"/>
                            <a:gd name="T7" fmla="*/ 799 h 800"/>
                            <a:gd name="T8" fmla="*/ 6235 w 7036"/>
                            <a:gd name="T9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6" h="800">
                              <a:moveTo>
                                <a:pt x="6235" y="0"/>
                              </a:moveTo>
                              <a:lnTo>
                                <a:pt x="0" y="0"/>
                              </a:lnTo>
                              <a:lnTo>
                                <a:pt x="0" y="799"/>
                              </a:lnTo>
                              <a:lnTo>
                                <a:pt x="7035" y="799"/>
                              </a:lnTo>
                              <a:lnTo>
                                <a:pt x="6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1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6515" y="0"/>
                          <a:ext cx="5725" cy="1371"/>
                        </a:xfrm>
                        <a:custGeom>
                          <a:avLst/>
                          <a:gdLst>
                            <a:gd name="T0" fmla="+- 0 12240 6516"/>
                            <a:gd name="T1" fmla="*/ T0 w 5725"/>
                            <a:gd name="T2" fmla="*/ 0 h 1371"/>
                            <a:gd name="T3" fmla="+- 0 6516 6516"/>
                            <a:gd name="T4" fmla="*/ T3 w 5725"/>
                            <a:gd name="T5" fmla="*/ 0 h 1371"/>
                            <a:gd name="T6" fmla="+- 0 7888 6516"/>
                            <a:gd name="T7" fmla="*/ T6 w 5725"/>
                            <a:gd name="T8" fmla="*/ 1371 h 1371"/>
                            <a:gd name="T9" fmla="+- 0 12240 6516"/>
                            <a:gd name="T10" fmla="*/ T9 w 5725"/>
                            <a:gd name="T11" fmla="*/ 1371 h 1371"/>
                            <a:gd name="T12" fmla="+- 0 12240 6516"/>
                            <a:gd name="T13" fmla="*/ T12 w 5725"/>
                            <a:gd name="T14" fmla="*/ 0 h 13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725" h="1371">
                              <a:moveTo>
                                <a:pt x="5724" y="0"/>
                              </a:moveTo>
                              <a:lnTo>
                                <a:pt x="0" y="0"/>
                              </a:lnTo>
                              <a:lnTo>
                                <a:pt x="1372" y="1371"/>
                              </a:lnTo>
                              <a:lnTo>
                                <a:pt x="5724" y="1371"/>
                              </a:lnTo>
                              <a:lnTo>
                                <a:pt x="5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6EAA47" id="Group 2" o:spid="_x0000_s1026" style="position:absolute;margin-left:-45.05pt;margin-top:795.55pt;width:755.45pt;height:51.6pt;rotation:180;z-index:-251650048;mso-position-horizontal-relative:page;mso-position-vertical-relative:page" coordsize="1224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">
              <v:shape id="Freeform 2" o:spid="_x0000_s1027" style="position:absolute;width:7036;height:800;visibility:visible;mso-wrap-style:square;v-text-anchor:top" coordsize="703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" path="m6235,l,,,799r7035,l6235,xe" fillcolor="#f7d117" stroked="f">
                <v:path arrowok="t" o:connecttype="custom" o:connectlocs="6235,0;0,0;0,799;7035,799;6235,0" o:connectangles="0,0,0,0,0"/>
              </v:shape>
              <v:shape id="Freeform 3" o:spid="_x0000_s1028" style="position:absolute;left:6515;width:5725;height:1371;visibility:visible;mso-wrap-style:square;v-text-anchor:top" coordsize="572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" path="m5724,l,,1372,1371r4352,l5724,xe" fillcolor="#00824a" stroked="f">
                <v:path arrowok="t" o:connecttype="custom" o:connectlocs="5724,0;0,0;1372,1371;5724,1371;5724,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D59BA48" wp14:editId="5009F196">
          <wp:simplePos x="0" y="0"/>
          <wp:positionH relativeFrom="margin">
            <wp:posOffset>4873652</wp:posOffset>
          </wp:positionH>
          <wp:positionV relativeFrom="paragraph">
            <wp:posOffset>-436907</wp:posOffset>
          </wp:positionV>
          <wp:extent cx="1375576" cy="674681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67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76FD" w14:textId="77777777" w:rsidR="005D0EC1" w:rsidRDefault="005D0EC1" w:rsidP="00097F9B">
      <w:pPr>
        <w:spacing w:after="0" w:line="240" w:lineRule="auto"/>
      </w:pPr>
      <w:r>
        <w:separator/>
      </w:r>
    </w:p>
  </w:footnote>
  <w:footnote w:type="continuationSeparator" w:id="0">
    <w:p w14:paraId="2391DC71" w14:textId="77777777" w:rsidR="005D0EC1" w:rsidRDefault="005D0EC1" w:rsidP="0009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0F43" w14:textId="7C9204F7" w:rsidR="00097F9B" w:rsidRDefault="003F2310">
    <w:pPr>
      <w:pStyle w:val="Header"/>
    </w:pPr>
    <w:r w:rsidRPr="003F2310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2AA8EFA" wp14:editId="7D90AA02">
              <wp:simplePos x="0" y="0"/>
              <wp:positionH relativeFrom="page">
                <wp:posOffset>-1256030</wp:posOffset>
              </wp:positionH>
              <wp:positionV relativeFrom="page">
                <wp:posOffset>-12065</wp:posOffset>
              </wp:positionV>
              <wp:extent cx="9594215" cy="654685"/>
              <wp:effectExtent l="0" t="0" r="6985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4215" cy="654685"/>
                        <a:chOff x="0" y="0"/>
                        <a:chExt cx="12240" cy="1371"/>
                      </a:xfrm>
                    </wpg:grpSpPr>
                    <wps:wsp>
                      <wps:cNvPr id="27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36" cy="800"/>
                        </a:xfrm>
                        <a:custGeom>
                          <a:avLst/>
                          <a:gdLst>
                            <a:gd name="T0" fmla="*/ 6235 w 7036"/>
                            <a:gd name="T1" fmla="*/ 0 h 800"/>
                            <a:gd name="T2" fmla="*/ 0 w 7036"/>
                            <a:gd name="T3" fmla="*/ 0 h 800"/>
                            <a:gd name="T4" fmla="*/ 0 w 7036"/>
                            <a:gd name="T5" fmla="*/ 799 h 800"/>
                            <a:gd name="T6" fmla="*/ 7035 w 7036"/>
                            <a:gd name="T7" fmla="*/ 799 h 800"/>
                            <a:gd name="T8" fmla="*/ 6235 w 7036"/>
                            <a:gd name="T9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6" h="800">
                              <a:moveTo>
                                <a:pt x="6235" y="0"/>
                              </a:moveTo>
                              <a:lnTo>
                                <a:pt x="0" y="0"/>
                              </a:lnTo>
                              <a:lnTo>
                                <a:pt x="0" y="799"/>
                              </a:lnTo>
                              <a:lnTo>
                                <a:pt x="7035" y="799"/>
                              </a:lnTo>
                              <a:lnTo>
                                <a:pt x="6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8D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"/>
                      <wps:cNvSpPr>
                        <a:spLocks/>
                      </wps:cNvSpPr>
                      <wps:spPr bwMode="auto">
                        <a:xfrm>
                          <a:off x="6515" y="0"/>
                          <a:ext cx="5725" cy="1371"/>
                        </a:xfrm>
                        <a:custGeom>
                          <a:avLst/>
                          <a:gdLst>
                            <a:gd name="T0" fmla="+- 0 12240 6516"/>
                            <a:gd name="T1" fmla="*/ T0 w 5725"/>
                            <a:gd name="T2" fmla="*/ 0 h 1371"/>
                            <a:gd name="T3" fmla="+- 0 6516 6516"/>
                            <a:gd name="T4" fmla="*/ T3 w 5725"/>
                            <a:gd name="T5" fmla="*/ 0 h 1371"/>
                            <a:gd name="T6" fmla="+- 0 7888 6516"/>
                            <a:gd name="T7" fmla="*/ T6 w 5725"/>
                            <a:gd name="T8" fmla="*/ 1371 h 1371"/>
                            <a:gd name="T9" fmla="+- 0 12240 6516"/>
                            <a:gd name="T10" fmla="*/ T9 w 5725"/>
                            <a:gd name="T11" fmla="*/ 1371 h 1371"/>
                            <a:gd name="T12" fmla="+- 0 12240 6516"/>
                            <a:gd name="T13" fmla="*/ T12 w 5725"/>
                            <a:gd name="T14" fmla="*/ 0 h 13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725" h="1371">
                              <a:moveTo>
                                <a:pt x="5724" y="0"/>
                              </a:moveTo>
                              <a:lnTo>
                                <a:pt x="0" y="0"/>
                              </a:lnTo>
                              <a:lnTo>
                                <a:pt x="1372" y="1371"/>
                              </a:lnTo>
                              <a:lnTo>
                                <a:pt x="5724" y="1371"/>
                              </a:lnTo>
                              <a:lnTo>
                                <a:pt x="5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0C2A6" id="Group 24" o:spid="_x0000_s1026" style="position:absolute;margin-left:-98.9pt;margin-top:-.95pt;width:755.45pt;height:51.55pt;z-index:-251653120;mso-position-horizontal-relative:page;mso-position-vertical-relative:page" coordsize="1224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">
              <v:shape id="Freeform 2" o:spid="_x0000_s1027" style="position:absolute;width:7036;height:800;visibility:visible;mso-wrap-style:square;v-text-anchor:top" coordsize="703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" path="m6235,l,,,799r7035,l6235,xe" fillcolor="#368d42" stroked="f">
                <v:path arrowok="t" o:connecttype="custom" o:connectlocs="6235,0;0,0;0,799;7035,799;6235,0" o:connectangles="0,0,0,0,0"/>
              </v:shape>
              <v:shape id="Freeform 3" o:spid="_x0000_s1028" style="position:absolute;left:6515;width:5725;height:1371;visibility:visible;mso-wrap-style:square;v-text-anchor:top" coordsize="5725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" path="m5724,l,,1372,1371r4352,l5724,xe" fillcolor="#1f295c" stroked="f">
                <v:path arrowok="t" o:connecttype="custom" o:connectlocs="5724,0;0,0;1372,1371;5724,1371;5724,0" o:connectangles="0,0,0,0,0"/>
              </v:shape>
              <w10:wrap anchorx="page" anchory="page"/>
            </v:group>
          </w:pict>
        </mc:Fallback>
      </mc:AlternateContent>
    </w:r>
    <w:r w:rsidRPr="003F2310">
      <w:rPr>
        <w:noProof/>
      </w:rPr>
      <w:drawing>
        <wp:anchor distT="0" distB="0" distL="114300" distR="114300" simplePos="0" relativeHeight="251664384" behindDoc="1" locked="0" layoutInCell="1" allowOverlap="1" wp14:anchorId="4B7DE6FA" wp14:editId="1AE9272D">
          <wp:simplePos x="0" y="0"/>
          <wp:positionH relativeFrom="column">
            <wp:posOffset>-473710</wp:posOffset>
          </wp:positionH>
          <wp:positionV relativeFrom="paragraph">
            <wp:posOffset>69519</wp:posOffset>
          </wp:positionV>
          <wp:extent cx="1562100" cy="491490"/>
          <wp:effectExtent l="0" t="0" r="0" b="381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F5F"/>
    <w:multiLevelType w:val="multilevel"/>
    <w:tmpl w:val="02446A14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4D4B00"/>
    <w:multiLevelType w:val="multilevel"/>
    <w:tmpl w:val="02446A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12217C"/>
    <w:multiLevelType w:val="hybridMultilevel"/>
    <w:tmpl w:val="8AB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B18F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F04575"/>
    <w:multiLevelType w:val="hybridMultilevel"/>
    <w:tmpl w:val="D37495B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86D0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7296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D88BE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651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6E89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06E4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AE447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3CC2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F859F4"/>
    <w:multiLevelType w:val="hybridMultilevel"/>
    <w:tmpl w:val="20C0EA7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01599E"/>
    <w:multiLevelType w:val="hybridMultilevel"/>
    <w:tmpl w:val="AB4631D2"/>
    <w:lvl w:ilvl="0" w:tplc="0C09000F">
      <w:start w:val="1"/>
      <w:numFmt w:val="decimal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B"/>
    <w:rsid w:val="000274CF"/>
    <w:rsid w:val="00033524"/>
    <w:rsid w:val="00073549"/>
    <w:rsid w:val="00097F9B"/>
    <w:rsid w:val="000B6648"/>
    <w:rsid w:val="000C7165"/>
    <w:rsid w:val="000D71BE"/>
    <w:rsid w:val="000E3AB3"/>
    <w:rsid w:val="000F122B"/>
    <w:rsid w:val="00135EBB"/>
    <w:rsid w:val="00155FF3"/>
    <w:rsid w:val="001861D3"/>
    <w:rsid w:val="001F358E"/>
    <w:rsid w:val="002031CD"/>
    <w:rsid w:val="00244AC2"/>
    <w:rsid w:val="00252BD2"/>
    <w:rsid w:val="002657CD"/>
    <w:rsid w:val="00275496"/>
    <w:rsid w:val="00280F34"/>
    <w:rsid w:val="00286267"/>
    <w:rsid w:val="002B7E00"/>
    <w:rsid w:val="002D79DA"/>
    <w:rsid w:val="002D7C28"/>
    <w:rsid w:val="0031143E"/>
    <w:rsid w:val="0033070B"/>
    <w:rsid w:val="003839B0"/>
    <w:rsid w:val="0038458F"/>
    <w:rsid w:val="00393B46"/>
    <w:rsid w:val="003C387C"/>
    <w:rsid w:val="003D4BC5"/>
    <w:rsid w:val="003F2310"/>
    <w:rsid w:val="00443F11"/>
    <w:rsid w:val="00546DF1"/>
    <w:rsid w:val="0057535D"/>
    <w:rsid w:val="005778C8"/>
    <w:rsid w:val="0058050E"/>
    <w:rsid w:val="0058594B"/>
    <w:rsid w:val="005D0EC1"/>
    <w:rsid w:val="005F4854"/>
    <w:rsid w:val="006079A3"/>
    <w:rsid w:val="00624B44"/>
    <w:rsid w:val="00625828"/>
    <w:rsid w:val="00637501"/>
    <w:rsid w:val="006801D3"/>
    <w:rsid w:val="00694B6E"/>
    <w:rsid w:val="00744867"/>
    <w:rsid w:val="00773EAC"/>
    <w:rsid w:val="0077758C"/>
    <w:rsid w:val="007B00FA"/>
    <w:rsid w:val="007C65AB"/>
    <w:rsid w:val="00843CF8"/>
    <w:rsid w:val="008930AB"/>
    <w:rsid w:val="00894147"/>
    <w:rsid w:val="008B4904"/>
    <w:rsid w:val="008C1899"/>
    <w:rsid w:val="008C5B56"/>
    <w:rsid w:val="008D1202"/>
    <w:rsid w:val="00927557"/>
    <w:rsid w:val="009650F7"/>
    <w:rsid w:val="00966065"/>
    <w:rsid w:val="009823C7"/>
    <w:rsid w:val="009A4C5D"/>
    <w:rsid w:val="00A80E3D"/>
    <w:rsid w:val="00AF57EA"/>
    <w:rsid w:val="00B124B9"/>
    <w:rsid w:val="00B356EA"/>
    <w:rsid w:val="00B35F11"/>
    <w:rsid w:val="00BA576C"/>
    <w:rsid w:val="00BF0DF0"/>
    <w:rsid w:val="00C11043"/>
    <w:rsid w:val="00C26050"/>
    <w:rsid w:val="00C31723"/>
    <w:rsid w:val="00C526C1"/>
    <w:rsid w:val="00C72CEC"/>
    <w:rsid w:val="00C81E9B"/>
    <w:rsid w:val="00C8372C"/>
    <w:rsid w:val="00C8444B"/>
    <w:rsid w:val="00C95DD6"/>
    <w:rsid w:val="00CA70DD"/>
    <w:rsid w:val="00CD272C"/>
    <w:rsid w:val="00D13347"/>
    <w:rsid w:val="00D76D32"/>
    <w:rsid w:val="00D96E80"/>
    <w:rsid w:val="00DC6CBB"/>
    <w:rsid w:val="00E04D8E"/>
    <w:rsid w:val="00E13837"/>
    <w:rsid w:val="00E53DAD"/>
    <w:rsid w:val="00E820DD"/>
    <w:rsid w:val="00E84D6E"/>
    <w:rsid w:val="00E8572B"/>
    <w:rsid w:val="00E86496"/>
    <w:rsid w:val="00F702DD"/>
    <w:rsid w:val="00F82DD4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0C68"/>
  <w15:chartTrackingRefBased/>
  <w15:docId w15:val="{036279AC-DDFC-4BB0-A154-F2BDAE64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D6"/>
  </w:style>
  <w:style w:type="paragraph" w:styleId="Heading1">
    <w:name w:val="heading 1"/>
    <w:basedOn w:val="Normal"/>
    <w:next w:val="Normal"/>
    <w:link w:val="Heading1Char"/>
    <w:uiPriority w:val="9"/>
    <w:qFormat/>
    <w:rsid w:val="0007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07354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</w:pPr>
    <w:rPr>
      <w:rFonts w:asciiTheme="minorHAnsi" w:eastAsiaTheme="minorHAnsi" w:hAnsiTheme="minorHAnsi" w:cstheme="minorBidi"/>
      <w:caps/>
      <w:color w:val="auto"/>
      <w:spacing w:val="20"/>
      <w:sz w:val="28"/>
      <w:szCs w:val="28"/>
      <w:lang w:val="x-none" w:eastAsia="x-none"/>
    </w:rPr>
  </w:style>
  <w:style w:type="character" w:customStyle="1" w:styleId="Style1Char">
    <w:name w:val="Style1 Char"/>
    <w:link w:val="Style1"/>
    <w:rsid w:val="00073549"/>
    <w:rPr>
      <w:caps/>
      <w:spacing w:val="20"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0735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9B"/>
  </w:style>
  <w:style w:type="paragraph" w:styleId="Footer">
    <w:name w:val="footer"/>
    <w:basedOn w:val="Normal"/>
    <w:link w:val="FooterChar"/>
    <w:uiPriority w:val="99"/>
    <w:unhideWhenUsed/>
    <w:rsid w:val="0009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9B"/>
  </w:style>
  <w:style w:type="character" w:styleId="Hyperlink">
    <w:name w:val="Hyperlink"/>
    <w:basedOn w:val="DefaultParagraphFont"/>
    <w:uiPriority w:val="99"/>
    <w:unhideWhenUsed/>
    <w:rsid w:val="00097F9B"/>
    <w:rPr>
      <w:color w:val="0000FF"/>
      <w:u w:val="single"/>
    </w:rPr>
  </w:style>
  <w:style w:type="paragraph" w:styleId="ListParagraph">
    <w:name w:val="List Paragraph"/>
    <w:basedOn w:val="Normal"/>
    <w:qFormat/>
    <w:rsid w:val="00097F9B"/>
    <w:pPr>
      <w:ind w:left="720"/>
      <w:contextualSpacing/>
    </w:pPr>
  </w:style>
  <w:style w:type="numbering" w:customStyle="1" w:styleId="ImportedStyle1">
    <w:name w:val="Imported Style 1"/>
    <w:rsid w:val="00C95DD6"/>
    <w:pPr>
      <w:numPr>
        <w:numId w:val="2"/>
      </w:numPr>
    </w:pPr>
  </w:style>
  <w:style w:type="table" w:styleId="TableGrid">
    <w:name w:val="Table Grid"/>
    <w:basedOn w:val="TableNormal"/>
    <w:uiPriority w:val="59"/>
    <w:rsid w:val="00C95DD6"/>
    <w:pPr>
      <w:spacing w:after="0" w:line="240" w:lineRule="auto"/>
    </w:pPr>
    <w:rPr>
      <w:rFonts w:eastAsiaTheme="minorEastAs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3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onwealthgames.com.au/about-commonwealth-games-australia/poli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Emma Taylor</cp:lastModifiedBy>
  <cp:revision>4</cp:revision>
  <dcterms:created xsi:type="dcterms:W3CDTF">2022-03-17T09:55:00Z</dcterms:created>
  <dcterms:modified xsi:type="dcterms:W3CDTF">2022-03-18T00:33:00Z</dcterms:modified>
</cp:coreProperties>
</file>